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spacing w:lineRule="auto" w:line="240" w:beforeAutospacing="1" w:afterAutospacing="1"/>
        <w:jc w:val="center"/>
        <w:outlineLvl w:val="1"/>
        <w:rPr>
          <w:rFonts w:ascii="Times New Roman" w:hAnsi="Times New Roman" w:eastAsia="Times New Roman" w:cs="Times New Roman"/>
          <w:b/>
          <w:b/>
          <w:bCs/>
          <w:sz w:val="36"/>
          <w:szCs w:val="36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pl-PL"/>
        </w:rPr>
        <w:t>„</w:t>
      </w:r>
      <w:r>
        <w:rPr>
          <w:rFonts w:eastAsia="Times New Roman" w:cs="Times New Roman" w:ascii="Times New Roman" w:hAnsi="Times New Roman"/>
          <w:b/>
          <w:bCs/>
          <w:sz w:val="36"/>
          <w:szCs w:val="36"/>
          <w:lang w:eastAsia="pl-PL"/>
        </w:rPr>
        <w:t>40 zł” za zapewnienie zakwaterowania i wyżywienia obywatelom Ukrainy – są kolejne zmiany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Ustawa o pomocy obywatelom Ukrainy w związku z konfliktem zbrojnym na terytorium tego państwa była już zmieniana kilkukrotnie. Dwie z tych zmian dotyczyło również art. 13, który określał zasady przyznawania i wypłacania świadczenia za zapewnienie zakwaterowania i wyżywienia obywatelom Ukrainy.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both"/>
        <w:outlineLvl w:val="2"/>
        <w:rPr>
          <w:rFonts w:ascii="Times New Roman" w:hAnsi="Times New Roman" w:eastAsia="Times New Roman" w:cs="Times New Roman"/>
          <w:b/>
          <w:b/>
          <w:bCs/>
          <w:sz w:val="27"/>
          <w:szCs w:val="27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eastAsia="pl-PL"/>
        </w:rPr>
        <w:t>Zmiany do ustawy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Pierwotnie świadczenie przysługiwało przez okres 60 dni i dotyczyło obywateli Ukrainy legitymujących się zarówno numerem PESEL jak i innym dokumentem potwierdzającym jego tożsamość.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Pierwsza zmiana, która weszła w życie 15 kwietnia 2022 r. wprowadzała zasadę przyznawania świadczenia za okres 60 dni, ale liczonego od dnia wjazdu obywatela Ukrainy na terytorium Rzeczypospolitej Polskiej.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Druga zmiana, która weszła w życie 30 kwietnia br., wydłużała okres wypłaty świadczenia z dotychczasowych 60 dni do 120 dni od wjazdu na teren Polski. 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both"/>
        <w:outlineLvl w:val="3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Ważne terminy!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Uregulowano termin na złożenie wniosku obejmujący okres, w którym zapewniono zakwaterowanie i wyżywienie obywatelowi Ukrainy do dnia wejścia w życie ustawy, czyli do 30.06.2022 r. Wniosek za ten okres składa się </w:t>
      </w: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pl-PL"/>
        </w:rPr>
        <w:t>w terminie do 31 lipca 2022 r.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Zatem jeżeli gościłeś u siebie obywateli Ukrainy np. w okresie od 15.05. do 30.06, to wniosek powinieneś złożyć do 31 lipca.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Pozostałe wnioski składane po 1 lipca br., należy bezwzględnie złożyć w terminie miesiąca od ostatniego dnia okresu objętego wnioskiem.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Wnioski złożone z uchybieniem tych terminów pozostawia się bez rozpatrzenia.</w:t>
      </w:r>
    </w:p>
    <w:p>
      <w:pPr>
        <w:pStyle w:val="Normal"/>
        <w:numPr>
          <w:ilvl w:val="0"/>
          <w:numId w:val="0"/>
        </w:numPr>
        <w:spacing w:lineRule="auto" w:line="240" w:beforeAutospacing="1" w:afterAutospacing="1"/>
        <w:jc w:val="both"/>
        <w:outlineLvl w:val="2"/>
        <w:rPr>
          <w:rFonts w:ascii="Times New Roman" w:hAnsi="Times New Roman" w:eastAsia="Times New Roman" w:cs="Times New Roman"/>
          <w:b/>
          <w:b/>
          <w:bCs/>
          <w:sz w:val="27"/>
          <w:szCs w:val="27"/>
          <w:lang w:eastAsia="pl-PL"/>
        </w:rPr>
      </w:pPr>
      <w:r>
        <w:rPr>
          <w:rFonts w:eastAsia="Times New Roman" w:cs="Times New Roman" w:ascii="Times New Roman" w:hAnsi="Times New Roman"/>
          <w:b/>
          <w:bCs/>
          <w:sz w:val="27"/>
          <w:szCs w:val="27"/>
          <w:lang w:eastAsia="pl-PL"/>
        </w:rPr>
        <w:t>Zmiany do rozporządzenia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Istotnymi zmianami do rozporządzenia, o których warto i trzeba powiedzieć, są zmiany regulujące kwestię realizacji świadczenia dla obywateli Ukrainy.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 najświeższych zmianach, które weszły w życie 25 czerwca 2022 r., wprowadzono możliwość wydłużenia okresu pobierania świadczenia ponad 120 dni, ale wyłącznie w wymienionych w rozporządzeniu sytuacjach.</w:t>
      </w:r>
    </w:p>
    <w:p>
      <w:pPr>
        <w:pStyle w:val="Normal"/>
        <w:spacing w:lineRule="auto" w:line="240" w:beforeAutospacing="1" w:afterAutospacing="1"/>
        <w:jc w:val="both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Zatem gmina może przychylić się do wniosku o przedłużenie okresu wypłaty świadczenia w sytuacji gdy obywatel Ukrainy m. in.:</w:t>
      </w:r>
    </w:p>
    <w:p>
      <w:pPr>
        <w:pStyle w:val="Normal"/>
        <w:numPr>
          <w:ilvl w:val="0"/>
          <w:numId w:val="1"/>
        </w:numPr>
        <w:spacing w:lineRule="auto" w:line="240" w:beforeAutospacing="1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posiada orzeczenie o niepełnosprawności lub stopniu niepełnosprawności zarówno wydane w Polsce jak i w ramach ukraińskiego systemu orzekania o niepełnosprawności (I i II stopień niepełnosprawności),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jest kobietą w ciąży;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wychowuje dziecko do ukończenia 12 miesiąca życia;</w:t>
      </w:r>
    </w:p>
    <w:p>
      <w:pPr>
        <w:pStyle w:val="Normal"/>
        <w:numPr>
          <w:ilvl w:val="0"/>
          <w:numId w:val="1"/>
        </w:numPr>
        <w:spacing w:lineRule="auto" w:line="240" w:before="0" w:after="0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samotnie sprawuje opiekę nad trojgiem i więcej dzieci;</w:t>
      </w:r>
    </w:p>
    <w:p>
      <w:pPr>
        <w:pStyle w:val="Normal"/>
        <w:numPr>
          <w:ilvl w:val="0"/>
          <w:numId w:val="1"/>
        </w:numPr>
        <w:spacing w:lineRule="auto" w:line="240" w:before="0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>jest osobą, która ukończyła 60 rok życia (kobieta) albo 65 rok życia (mężczyzna).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pl-PL"/>
        </w:rPr>
        <w:t xml:space="preserve">Link do rozporządzenia: </w:t>
      </w:r>
      <w:hyperlink r:id="rId2">
        <w:r>
          <w:rPr>
            <w:rFonts w:eastAsia="Times New Roman" w:cs="Times New Roman" w:ascii="Times New Roman" w:hAnsi="Times New Roman"/>
            <w:color w:val="0000FF"/>
            <w:sz w:val="24"/>
            <w:szCs w:val="24"/>
            <w:u w:val="single"/>
            <w:lang w:eastAsia="pl-PL"/>
          </w:rPr>
          <w:t>Rozporządzenie Rady Ministrów z dnia 24 czerwca 2022 r. zmieniające rozporządzenie w sprawie maksymalnej wysokości świadczenia pieniężnego przysługującego z tytułu zapewnienia zakwaterowania i wyżywienia obywatelom Ukrainy oraz warunków przyznawania tego świadczenia i przedłużania jego wypłaty (sejm.gov.pl)</w:t>
        </w:r>
      </w:hyperlink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>
          <w:rFonts w:eastAsia="Times New Roman" w:cs="Times New Roman" w:ascii="Times New Roman" w:hAnsi="Times New Roman"/>
          <w:b/>
          <w:bCs/>
          <w:i/>
          <w:iCs/>
          <w:sz w:val="24"/>
          <w:szCs w:val="24"/>
          <w:lang w:eastAsia="pl-PL"/>
        </w:rPr>
        <w:t>Schemat obowiązujących terminów</w:t>
      </w:r>
    </w:p>
    <w:tbl>
      <w:tblPr>
        <w:tblStyle w:val="Tabelasiatki4akcent3"/>
        <w:tblW w:w="9062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654"/>
        <w:gridCol w:w="4407"/>
      </w:tblGrid>
      <w:tr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5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color="auto" w:fill="A5A5A5" w:themeFill="accent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FFFFFF"/>
                <w:kern w:val="0"/>
                <w:sz w:val="24"/>
                <w:szCs w:val="24"/>
                <w:lang w:val="pl-PL" w:eastAsia="pl-PL" w:bidi="ar-SA"/>
              </w:rPr>
              <w:t>OKRES ZAKWATEROWANIA</w:t>
            </w:r>
          </w:p>
        </w:tc>
        <w:tc>
          <w:tcPr>
            <w:tcW w:w="4407" w:type="dxa"/>
            <w:tcBorders>
              <w:top w:val="single" w:sz="4" w:space="0" w:color="A5A5A5"/>
              <w:left w:val="single" w:sz="4" w:space="0" w:color="A5A5A5"/>
              <w:bottom w:val="single" w:sz="4" w:space="0" w:color="A5A5A5"/>
              <w:right w:val="single" w:sz="4" w:space="0" w:color="A5A5A5"/>
            </w:tcBorders>
            <w:shd w:color="auto" w:fill="A5A5A5" w:themeFill="accent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FFFFFF"/>
                <w:kern w:val="0"/>
                <w:sz w:val="24"/>
                <w:szCs w:val="24"/>
                <w:lang w:val="pl-PL" w:eastAsia="pl-PL" w:bidi="ar-SA"/>
              </w:rPr>
              <w:t>TERMIN NA ZŁOŻENIE WNIOSKU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5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EDEDE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24"/>
                <w:szCs w:val="24"/>
                <w:lang w:val="pl-PL" w:eastAsia="pl-PL" w:bidi="ar-SA"/>
              </w:rPr>
              <w:t>do 29 kwietnia</w:t>
              <w:br/>
              <w:t>(obywatele Ukrainy nie posiadają numeru PESEL)</w:t>
            </w:r>
          </w:p>
        </w:tc>
        <w:tc>
          <w:tcPr>
            <w:tcW w:w="4407" w:type="dxa"/>
            <w:tcBorders/>
            <w:shd w:color="auto" w:fill="EDEDE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 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do 15 lipca 2022 r.  </w:t>
            </w:r>
          </w:p>
        </w:tc>
      </w:tr>
      <w:tr>
        <w:trPr/>
        <w:tc>
          <w:tcPr>
            <w:tcW w:w="465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24"/>
                <w:szCs w:val="24"/>
                <w:lang w:val="pl-PL" w:eastAsia="pl-PL" w:bidi="ar-SA"/>
              </w:rPr>
              <w:t>do 30 czerwca</w:t>
            </w:r>
          </w:p>
        </w:tc>
        <w:tc>
          <w:tcPr>
            <w:tcW w:w="440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do 31 lipca 202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2</w:t>
            </w: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 xml:space="preserve"> r.</w:t>
            </w:r>
          </w:p>
        </w:tc>
      </w:tr>
      <w:tr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4654" w:type="dxa"/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Borders/>
            <w:shd w:color="auto" w:fill="EDEDE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kern w:val="0"/>
                <w:sz w:val="24"/>
                <w:szCs w:val="24"/>
                <w:lang w:val="pl-PL" w:eastAsia="pl-PL" w:bidi="ar-SA"/>
              </w:rPr>
              <w:t>od 1 lipca</w:t>
            </w:r>
          </w:p>
        </w:tc>
        <w:tc>
          <w:tcPr>
            <w:tcW w:w="4407" w:type="dxa"/>
            <w:tcBorders/>
            <w:shd w:color="auto" w:fill="EDEDED" w:themeFill="accent3" w:themeFillTint="33" w:val="clear"/>
          </w:tcPr>
          <w:p>
            <w:pPr>
              <w:pStyle w:val="Normal"/>
              <w:widowControl/>
              <w:spacing w:lineRule="auto" w:line="240" w:before="0" w:after="0"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eastAsia="Times New Roman" w:cs="Times New Roman"/>
                <w:sz w:val="24"/>
                <w:szCs w:val="24"/>
                <w:lang w:eastAsia="pl-PL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4"/>
                <w:szCs w:val="24"/>
                <w:lang w:val="pl-PL" w:eastAsia="pl-PL" w:bidi="ar-SA"/>
              </w:rPr>
              <w:t>miesiąc od ostatniego dnia zakwaterowania obywatela</w:t>
            </w:r>
          </w:p>
        </w:tc>
      </w:tr>
    </w:tbl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Times New Roman">
    <w:charset w:val="01"/>
    <w:family w:val="roman"/>
    <w:pitch w:val="variable"/>
  </w:font>
  <w:font w:name="Symbol">
    <w:charset w:val="02"/>
    <w:family w:val="auto"/>
    <w:pitch w:val="default"/>
  </w:font>
  <w:font w:name="Courier New">
    <w:charset w:val="01"/>
    <w:family w:val="auto"/>
    <w:pitch w:val="default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425"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zeinternetowe">
    <w:name w:val="Łącze internetowe"/>
    <w:rPr>
      <w:color w:val="000080"/>
      <w:u w:val="single"/>
      <w:lang w:val="zxx" w:eastAsia="zxx" w:bidi="zxx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Noto Sans" w:cs="Noto Sans Devanagari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Noto Sans Devanagari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Noto Sans Devanagari"/>
      <w:lang w:val="zxx" w:eastAsia="zxx" w:bidi="zxx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Zwykatabela1">
    <w:name w:val="Plain Table 1"/>
    <w:basedOn w:val="Standardowy"/>
    <w:uiPriority w:val="41"/>
    <w:rsid w:val="001a71c0"/>
    <w:pPr>
      <w:spacing w:after="0" w:line="240" w:lineRule="auto"/>
    </w:pPr>
    <w:tblPr>
      <w:tblStyleRowBandSize w:val="1"/>
      <w:tblStyleColBandSize w:val="1"/>
      <w:tblBorders>
        <w:top w:val="single" w:color="BFBFBF" w:themeColor="background1" w:sz="4" w:space="0"/>
        <w:left w:val="single" w:color="BFBFBF" w:themeColor="background1" w:sz="4" w:space="0"/>
        <w:bottom w:val="single" w:color="BFBFBF" w:themeColor="background1" w:sz="4" w:space="0"/>
        <w:right w:val="single" w:color="BFBFBF" w:themeColor="background1" w:sz="4" w:space="0"/>
        <w:insideH w:val="single" w:color="BFBFBF" w:themeColor="background1" w:sz="4" w:space="0"/>
        <w:insideV w:val="single" w:color="BFBFBF" w:themeColor="background1" w:sz="4" w:space="0"/>
      </w:tblBorders>
    </w:tbl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double" w:color="BFBFBF" w:themeColor="background1" w:sz="4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atkatabelijasna">
    <w:name w:val="Grid Table Light"/>
    <w:basedOn w:val="Standardowy"/>
    <w:uiPriority w:val="40"/>
    <w:rsid w:val="001a71c0"/>
    <w:pPr>
      <w:spacing w:after="0" w:line="240" w:lineRule="auto"/>
    </w:pPr>
    <w:tblPr>
      <w:tblBorders>
        <w:top w:val="single" w:color="BFBFBF" w:themeColor="background1" w:sz="4" w:space="0"/>
        <w:left w:val="single" w:color="BFBFBF" w:themeColor="background1" w:sz="4" w:space="0"/>
        <w:bottom w:val="single" w:color="BFBFBF" w:themeColor="background1" w:sz="4" w:space="0"/>
        <w:right w:val="single" w:color="BFBFBF" w:themeColor="background1" w:sz="4" w:space="0"/>
        <w:insideH w:val="single" w:color="BFBFBF" w:themeColor="background1" w:sz="4" w:space="0"/>
        <w:insideV w:val="single" w:color="BFBFBF" w:themeColor="background1" w:sz="4" w:space="0"/>
      </w:tblBorders>
    </w:tblPr>
  </w:style>
  <w:style w:type="table" w:styleId="Tabela-Siatka">
    <w:name w:val="Table Grid"/>
    <w:basedOn w:val="Standardowy"/>
    <w:uiPriority w:val="39"/>
    <w:rsid w:val="001a71c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elasiatki4akcent3">
    <w:name w:val="Grid Table 4 Accent 3"/>
    <w:basedOn w:val="Standardowy"/>
    <w:uiPriority w:val="49"/>
    <w:rsid w:val="001a71c0"/>
    <w:pPr>
      <w:spacing w:after="0" w:line="240" w:lineRule="auto"/>
    </w:pPr>
    <w:tblPr>
      <w:tblStyleRowBandSize w:val="1"/>
      <w:tblStyleColBandSize w:val="1"/>
      <w:tblBorders>
        <w:top w:val="single" w:color="C9C9C9" w:themeColor="accent3" w:themeTint="99" w:sz="4" w:space="0"/>
        <w:left w:val="single" w:color="C9C9C9" w:themeColor="accent3" w:themeTint="99" w:sz="4" w:space="0"/>
        <w:bottom w:val="single" w:color="C9C9C9" w:themeColor="accent3" w:themeTint="99" w:sz="4" w:space="0"/>
        <w:right w:val="single" w:color="C9C9C9" w:themeColor="accent3" w:themeTint="99" w:sz="4" w:space="0"/>
        <w:insideH w:val="single" w:color="C9C9C9" w:themeColor="accent3" w:themeTint="99" w:sz="4" w:space="0"/>
        <w:insideV w:val="single" w:color="C9C9C9" w:themeColor="accent3" w:themeTint="99" w:sz="4" w:space="0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color="A5A5A5" w:themeColor="accent3" w:sz="4" w:space="0"/>
          <w:left w:val="single" w:color="A5A5A5" w:themeColor="accent3" w:sz="4" w:space="0"/>
          <w:bottom w:val="single" w:color="A5A5A5" w:themeColor="accent3" w:sz="4" w:space="0"/>
          <w:right w:val="single" w:color="A5A5A5" w:themeColor="accent3" w:sz="4" w:space="0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color="A5A5A5" w:themeColor="accent3" w:sz="4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isap.sejm.gov.pl/isap.nsf/DocDetails.xsp?id=WDU20220001336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181B5-4F4F-4454-A9B5-8968A6B115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LibreOffice/7.2.7.2$Linux_X86_64 LibreOffice_project/20$Build-2</Application>
  <AppVersion>15.0000</AppVersion>
  <Pages>2</Pages>
  <Words>431</Words>
  <Characters>2620</Characters>
  <CharactersWithSpaces>3021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2022-07-19T12:10:00Z</dcterms:created>
  <dc:creator>i.mikolajczyk</dc:creator>
  <dc:description/>
  <dc:language>pl-PL</dc:language>
  <cp:lastModifiedBy/>
  <dcterms:modified xsi:type="dcterms:W3CDTF">2022-07-19T14:41:21Z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